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341" w:rsidRPr="00033ABA" w:rsidRDefault="00734341" w:rsidP="00033ABA">
      <w:pPr>
        <w:shd w:val="clear" w:color="auto" w:fill="FFFFFF"/>
        <w:spacing w:after="255" w:line="240" w:lineRule="auto"/>
        <w:outlineLvl w:val="1"/>
        <w:rPr>
          <w:rFonts w:ascii="Arial" w:eastAsia="Times New Roman" w:hAnsi="Arial" w:cs="Arial"/>
          <w:b/>
          <w:bCs/>
          <w:color w:val="4D4D4D"/>
          <w:lang w:eastAsia="ru-RU"/>
        </w:rPr>
      </w:pPr>
      <w:r w:rsidRPr="00033ABA">
        <w:rPr>
          <w:rFonts w:ascii="Arial" w:eastAsia="Times New Roman" w:hAnsi="Arial" w:cs="Arial"/>
          <w:b/>
          <w:bCs/>
          <w:color w:val="4D4D4D"/>
          <w:lang w:eastAsia="ru-RU"/>
        </w:rPr>
        <w:t>Федеральный закон от 4 октября 2014 г. N 284-ФЗ "О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"О налогах на имущество физических лиц"</w:t>
      </w:r>
    </w:p>
    <w:p w:rsidR="00734341" w:rsidRPr="00033ABA" w:rsidRDefault="00734341" w:rsidP="00734341">
      <w:pPr>
        <w:shd w:val="clear" w:color="auto" w:fill="FFFFFF"/>
        <w:spacing w:after="180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6 октября 2014 </w:t>
      </w:r>
    </w:p>
    <w:p w:rsidR="00F73020" w:rsidRDefault="00734341" w:rsidP="00F73020">
      <w:pPr>
        <w:shd w:val="clear" w:color="auto" w:fill="FFFFFF"/>
        <w:spacing w:after="255" w:line="240" w:lineRule="auto"/>
        <w:rPr>
          <w:rFonts w:ascii="Arial" w:eastAsia="Times New Roman" w:hAnsi="Arial" w:cs="Arial"/>
          <w:color w:val="000000"/>
          <w:lang w:eastAsia="ru-RU"/>
        </w:rPr>
      </w:pPr>
      <w:bookmarkStart w:id="0" w:name="0"/>
      <w:bookmarkEnd w:id="0"/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Принят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Государственной Думой 26 сентября 2014 года</w:t>
      </w:r>
    </w:p>
    <w:p w:rsidR="00734341" w:rsidRPr="00033ABA" w:rsidRDefault="00734341" w:rsidP="00F73020">
      <w:pPr>
        <w:shd w:val="clear" w:color="auto" w:fill="FFFFFF"/>
        <w:spacing w:after="255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Одобрен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Советом Федерации 1 октября 2014 года</w:t>
      </w:r>
    </w:p>
    <w:p w:rsidR="00EB474C" w:rsidRPr="00033ABA" w:rsidRDefault="00EB474C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</w:p>
    <w:p w:rsidR="00EB474C" w:rsidRPr="00033ABA" w:rsidRDefault="00EB474C" w:rsidP="00033ABA">
      <w:pPr>
        <w:shd w:val="clear" w:color="auto" w:fill="FFFFFF"/>
        <w:spacing w:after="255" w:line="255" w:lineRule="atLeast"/>
        <w:jc w:val="center"/>
        <w:rPr>
          <w:rFonts w:ascii="Arial" w:eastAsia="Times New Roman" w:hAnsi="Arial" w:cs="Arial"/>
          <w:b/>
          <w:color w:val="000000"/>
          <w:u w:val="single"/>
          <w:lang w:eastAsia="ru-RU"/>
        </w:rPr>
      </w:pPr>
      <w:r w:rsidRPr="00033ABA">
        <w:rPr>
          <w:rFonts w:ascii="Arial" w:eastAsia="Times New Roman" w:hAnsi="Arial" w:cs="Arial"/>
          <w:b/>
          <w:color w:val="000000"/>
          <w:u w:val="single"/>
          <w:lang w:eastAsia="ru-RU"/>
        </w:rPr>
        <w:t>Поправки касаются исчисления и уплаты ряда имущественных налогов.</w:t>
      </w:r>
    </w:p>
    <w:p w:rsidR="00891C42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Основные изменения затрагивают </w:t>
      </w:r>
      <w:r w:rsidRPr="00891C42">
        <w:rPr>
          <w:rFonts w:ascii="Arial" w:eastAsia="Times New Roman" w:hAnsi="Arial" w:cs="Arial"/>
          <w:b/>
          <w:color w:val="000000"/>
          <w:lang w:eastAsia="ru-RU"/>
        </w:rPr>
        <w:t>налог на имущество физлиц</w:t>
      </w:r>
      <w:r w:rsidRPr="00033ABA">
        <w:rPr>
          <w:rFonts w:ascii="Arial" w:eastAsia="Times New Roman" w:hAnsi="Arial" w:cs="Arial"/>
          <w:color w:val="000000"/>
          <w:lang w:eastAsia="ru-RU"/>
        </w:rPr>
        <w:t xml:space="preserve">. 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С 2015 г. вводится исчисление указанного налога исходя из кадастровой, а не инвентаризационной стоимости. Все регионы должны будут перейти на взимание налога с кадастровой стои</w:t>
      </w:r>
      <w:bookmarkStart w:id="1" w:name="_GoBack"/>
      <w:bookmarkEnd w:id="1"/>
      <w:r w:rsidRPr="00033ABA">
        <w:rPr>
          <w:rFonts w:ascii="Arial" w:eastAsia="Times New Roman" w:hAnsi="Arial" w:cs="Arial"/>
          <w:color w:val="000000"/>
          <w:lang w:eastAsia="ru-RU"/>
        </w:rPr>
        <w:t>мости до 1 января 2020 г.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В отношении жилых домов (в том числе недостроенных), жилых помещений, гаражей, </w:t>
      </w:r>
      <w:proofErr w:type="spellStart"/>
      <w:r w:rsidRPr="00033ABA">
        <w:rPr>
          <w:rFonts w:ascii="Arial" w:eastAsia="Times New Roman" w:hAnsi="Arial" w:cs="Arial"/>
          <w:color w:val="000000"/>
          <w:lang w:eastAsia="ru-RU"/>
        </w:rPr>
        <w:t>хозстроений</w:t>
      </w:r>
      <w:proofErr w:type="spellEnd"/>
      <w:r w:rsidRPr="00033ABA">
        <w:rPr>
          <w:rFonts w:ascii="Arial" w:eastAsia="Times New Roman" w:hAnsi="Arial" w:cs="Arial"/>
          <w:color w:val="000000"/>
          <w:lang w:eastAsia="ru-RU"/>
        </w:rPr>
        <w:t xml:space="preserve"> площадью не более 50 кв. м ставка налога составит 0,1%. Причем местные власти получают право уменьшать ее до нуля или увеличивать, но не более чем в 3 раза.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В отношении объектов стоимостью более 300 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млн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> руб. и нежилых помещений установлена ставка налога в размере 2%.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Допускается дифференциация налоговых ставок в зависимости от кадастровой стоимости объекта, его вида, местонахождения.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Сохраняются существующие налоговые льготы. Однако они предоставляются только по 1 объекту каждого вида (по выбору налогоплательщика). При этом льготы не распространяются на объекты, используемые в предпринимательской деятельности, нежилые помещения и объекты стоимостью более 300 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млн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> руб.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Помимо льгот предусматриваются вычеты (не облагаемые налогом метры). В отношении квартиры вычет составляет 20 кв. м, комнаты - 10 кв. м, жилого дома - 50 кв. м. Местным властям дано право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увеличивать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размеры указанных вычетов.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Чтобы не допустить резкого повышения налоговой нагрузки на граждан, в течение первых 4 лет взимания налога по новым правилам его сумму будут исчислять с применением понижающих коэффициентов.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Отметим, что ранее предполагалось ввести единый налог на недвижимость физлиц (строения и земельные участки), который также планировалось рассчитывать из кадастровой стоимости.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Помимо этого поправками уточняется порядок исчисления и уплаты налога на имущество организаций в отношении объектов, облагаемых исходя из кадастровой стоимости. В частности, расширяется перечень таких объектов. В него включаются жилые дома и жилые помещения, не учитываемые на балансе в качестве объектов основных средств.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Кроме того, предусмотрены изменения в порядке взимания земельного налога. В частности, освобождены от налогообложения участки, входящие в состав общего имущества многоквартирного дома. Регулируется порядок исчисления налога в случае изменения кадастровой стоимости земельного участка в течение налогового периода.</w:t>
      </w:r>
    </w:p>
    <w:p w:rsidR="00EB474C" w:rsidRPr="00033ABA" w:rsidRDefault="00EB474C" w:rsidP="00EB474C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Федеральный закон вступает в силу с 1 января 2015 г., но не ранее чем через 1 месяц со дня его официального опубликования и не ранее 1 числа очередного налогового периода по соответствующему налогу (кроме положений, для которых предусмотрен иной срок введения в действие).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2"/>
        <w:gridCol w:w="2206"/>
      </w:tblGrid>
      <w:tr w:rsidR="00734341" w:rsidRPr="00033ABA" w:rsidTr="00734341">
        <w:tc>
          <w:tcPr>
            <w:tcW w:w="0" w:type="auto"/>
            <w:hideMark/>
          </w:tcPr>
          <w:p w:rsidR="00734341" w:rsidRPr="00033ABA" w:rsidRDefault="00734341" w:rsidP="004F03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</w:pPr>
            <w:r w:rsidRPr="00033ABA"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t xml:space="preserve"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 </w:t>
            </w:r>
          </w:p>
        </w:tc>
        <w:tc>
          <w:tcPr>
            <w:tcW w:w="0" w:type="auto"/>
            <w:hideMark/>
          </w:tcPr>
          <w:p w:rsidR="00734341" w:rsidRPr="00033ABA" w:rsidRDefault="00734341" w:rsidP="007343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</w:pPr>
            <w:r w:rsidRPr="00033ABA"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t xml:space="preserve">Ставка налога </w:t>
            </w:r>
          </w:p>
        </w:tc>
      </w:tr>
      <w:tr w:rsidR="00734341" w:rsidRPr="00033ABA" w:rsidTr="00734341">
        <w:tc>
          <w:tcPr>
            <w:tcW w:w="0" w:type="auto"/>
            <w:hideMark/>
          </w:tcPr>
          <w:p w:rsidR="00734341" w:rsidRPr="00033ABA" w:rsidRDefault="00734341" w:rsidP="0073434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33ABA">
              <w:rPr>
                <w:rFonts w:ascii="Arial" w:eastAsia="Times New Roman" w:hAnsi="Arial" w:cs="Arial"/>
                <w:color w:val="333333"/>
                <w:lang w:eastAsia="ru-RU"/>
              </w:rPr>
              <w:t xml:space="preserve">До 300 000 рублей включительно </w:t>
            </w:r>
          </w:p>
        </w:tc>
        <w:tc>
          <w:tcPr>
            <w:tcW w:w="0" w:type="auto"/>
            <w:hideMark/>
          </w:tcPr>
          <w:p w:rsidR="00734341" w:rsidRPr="00033ABA" w:rsidRDefault="00734341" w:rsidP="0073434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33ABA">
              <w:rPr>
                <w:rFonts w:ascii="Arial" w:eastAsia="Times New Roman" w:hAnsi="Arial" w:cs="Arial"/>
                <w:color w:val="333333"/>
                <w:lang w:eastAsia="ru-RU"/>
              </w:rPr>
              <w:t xml:space="preserve">До 0,1 процента включительно </w:t>
            </w:r>
          </w:p>
        </w:tc>
      </w:tr>
      <w:tr w:rsidR="00734341" w:rsidRPr="00033ABA" w:rsidTr="00734341">
        <w:tc>
          <w:tcPr>
            <w:tcW w:w="0" w:type="auto"/>
            <w:hideMark/>
          </w:tcPr>
          <w:p w:rsidR="00734341" w:rsidRPr="00033ABA" w:rsidRDefault="00734341" w:rsidP="0073434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33ABA">
              <w:rPr>
                <w:rFonts w:ascii="Arial" w:eastAsia="Times New Roman" w:hAnsi="Arial" w:cs="Arial"/>
                <w:color w:val="333333"/>
                <w:lang w:eastAsia="ru-RU"/>
              </w:rPr>
              <w:t xml:space="preserve">Свыше 300 000 до 500 000 рублей включительно </w:t>
            </w:r>
          </w:p>
        </w:tc>
        <w:tc>
          <w:tcPr>
            <w:tcW w:w="0" w:type="auto"/>
            <w:hideMark/>
          </w:tcPr>
          <w:p w:rsidR="00734341" w:rsidRPr="00033ABA" w:rsidRDefault="00734341" w:rsidP="0073434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33ABA">
              <w:rPr>
                <w:rFonts w:ascii="Arial" w:eastAsia="Times New Roman" w:hAnsi="Arial" w:cs="Arial"/>
                <w:color w:val="333333"/>
                <w:lang w:eastAsia="ru-RU"/>
              </w:rPr>
              <w:t xml:space="preserve">Свыше 0,1 до 0,3 процента включительно </w:t>
            </w:r>
          </w:p>
        </w:tc>
      </w:tr>
      <w:tr w:rsidR="00734341" w:rsidRPr="00033ABA" w:rsidTr="00734341">
        <w:tc>
          <w:tcPr>
            <w:tcW w:w="0" w:type="auto"/>
            <w:hideMark/>
          </w:tcPr>
          <w:p w:rsidR="00734341" w:rsidRPr="00033ABA" w:rsidRDefault="00734341" w:rsidP="0073434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33ABA">
              <w:rPr>
                <w:rFonts w:ascii="Arial" w:eastAsia="Times New Roman" w:hAnsi="Arial" w:cs="Arial"/>
                <w:color w:val="333333"/>
                <w:lang w:eastAsia="ru-RU"/>
              </w:rPr>
              <w:t xml:space="preserve">Свыше 500 000 рублей </w:t>
            </w:r>
          </w:p>
        </w:tc>
        <w:tc>
          <w:tcPr>
            <w:tcW w:w="0" w:type="auto"/>
            <w:hideMark/>
          </w:tcPr>
          <w:p w:rsidR="00734341" w:rsidRPr="00033ABA" w:rsidRDefault="00734341" w:rsidP="0073434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33ABA">
              <w:rPr>
                <w:rFonts w:ascii="Arial" w:eastAsia="Times New Roman" w:hAnsi="Arial" w:cs="Arial"/>
                <w:color w:val="333333"/>
                <w:lang w:eastAsia="ru-RU"/>
              </w:rPr>
              <w:t xml:space="preserve">Свыше 0,3 до 2,0 процента включительно </w:t>
            </w:r>
          </w:p>
        </w:tc>
      </w:tr>
    </w:tbl>
    <w:p w:rsidR="00F73020" w:rsidRDefault="00F73020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5. Допускается установление дифференцированных налоговых ставок в зависимости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от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>: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1) кадастровой стоимости объекта налогообложения (суммарной инвентаризационной стоимости объектов налогообложения, умноженной на коэффициент-дефлятор (с учетом доли налогоплательщика в праве общей собственности на каждый из таких объектов);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2) вида объекта налогообложения;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3) места нахождения объекта налогообложения;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4) видов территориальных зон, в границах которых расположен объект налогообложения.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6. Если налоговые ставки не определены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Севастополя), налогообложение производится: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1) в случае определения налоговой базы исходя из кадастровой стоимости объекта налогообложения - по налоговым ставкам, указанным в </w:t>
      </w:r>
      <w:hyperlink r:id="rId5" w:anchor="40602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пункте 2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2) в случае определения налоговой базы исходя из инвентаризационной стоимости объекта налогообложения - по налоговой ставке 0,1 процента в отношении объектов с суммарной инвентаризационной стоимостью, умноженной на коэффициент-дефлятор (с учетом доли налогоплательщика в праве общей собственности на каждый из таких объектов), до 500 000 рублей включительно и по налоговой ставке 0,3 процента в отношении остальных объектов.</w:t>
      </w:r>
      <w:proofErr w:type="gramEnd"/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b/>
          <w:color w:val="000000"/>
          <w:lang w:eastAsia="ru-RU"/>
        </w:rPr>
      </w:pPr>
      <w:r w:rsidRPr="00033ABA">
        <w:rPr>
          <w:rFonts w:ascii="Arial" w:eastAsia="Times New Roman" w:hAnsi="Arial" w:cs="Arial"/>
          <w:b/>
          <w:color w:val="000000"/>
          <w:lang w:eastAsia="ru-RU"/>
        </w:rPr>
        <w:t>Статья 407. Налоговые льготы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1. С учетом положений настоящей статьи право на налоговую льготу имеют следующие категории налогоплательщиков: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1) Герои Советского Союза и Герои Российской Федерации, а также лица, награжденные орденом Славы трех степеней;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2) инвалиды I и II групп инвалидности;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3) инвалиды с детства;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4) участники гражданской войны и Великой Отечественной войны, других боевых операций по защите СССР из числа военнослужащих, проходивших службу в воинских частях, штабах и учреждениях, входивших в состав действующей армии, и бывших партизан, а также ветераны боевых действий;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 xml:space="preserve">5) лица вольнонаемного состава Советской Армии, Военно-Морского Флота, органов внутренних дел и государственной безопасности, занимавшие штатные должности в воинских </w:t>
      </w:r>
      <w:r w:rsidRPr="00033ABA">
        <w:rPr>
          <w:rFonts w:ascii="Arial" w:eastAsia="Times New Roman" w:hAnsi="Arial" w:cs="Arial"/>
          <w:color w:val="000000"/>
          <w:lang w:eastAsia="ru-RU"/>
        </w:rPr>
        <w:lastRenderedPageBreak/>
        <w:t>частях, штабах и учреждениях, входивших в состав действующей армии в период Великой Отечественной войны, либо лица, находившиеся в этот период в городах, участие в обороне которых засчитывается этим лицам в выслугу лет для назначения пенсии на льготных условиях, установленных для военнослужащих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частей действующей армии;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6) лица, имеющие право на получение социальной поддержки в соответствии с Законом 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АЭС", в соответствии с Федеральным законом от 26 ноября 1998 года N 175-ФЗ "О социальной защите граждан Российской Федерации, подвергшихся воздействию радиации вследствие аварии в 1957 году на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 xml:space="preserve">производственном объединении "Маяк" и сбросов радиоактивных отходов в реку </w:t>
      </w:r>
      <w:proofErr w:type="spellStart"/>
      <w:r w:rsidRPr="00033ABA">
        <w:rPr>
          <w:rFonts w:ascii="Arial" w:eastAsia="Times New Roman" w:hAnsi="Arial" w:cs="Arial"/>
          <w:color w:val="000000"/>
          <w:lang w:eastAsia="ru-RU"/>
        </w:rPr>
        <w:t>Теча</w:t>
      </w:r>
      <w:proofErr w:type="spellEnd"/>
      <w:r w:rsidRPr="00033ABA">
        <w:rPr>
          <w:rFonts w:ascii="Arial" w:eastAsia="Times New Roman" w:hAnsi="Arial" w:cs="Arial"/>
          <w:color w:val="000000"/>
          <w:lang w:eastAsia="ru-RU"/>
        </w:rPr>
        <w:t>" и Федеральным законом от 10 января 2002 года N 2-ФЗ "О социальных гарантиях гражданам, подвергшимся радиационному воздействию вследствие ядерных испытаний на Семипалатинском полигоне";</w:t>
      </w:r>
      <w:proofErr w:type="gramEnd"/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7) военнослужащие,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имеющие общую продолжительность военной службы 20 лет и более;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8) лица, принимавшие непосредственное участие в составе подразделений особого риска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9) члены семей военнослужащих, потерявших кормильца;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10) пенсионеры, получающие пенсии, назначаемые в порядке, установленном пенсионным законодательством, а также лица, достигшие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11) граждане, уволенные с военной службы или </w:t>
      </w:r>
      <w:proofErr w:type="spellStart"/>
      <w:r w:rsidRPr="00033ABA">
        <w:rPr>
          <w:rFonts w:ascii="Arial" w:eastAsia="Times New Roman" w:hAnsi="Arial" w:cs="Arial"/>
          <w:color w:val="000000"/>
          <w:lang w:eastAsia="ru-RU"/>
        </w:rPr>
        <w:t>призывавшиеся</w:t>
      </w:r>
      <w:proofErr w:type="spellEnd"/>
      <w:r w:rsidRPr="00033ABA">
        <w:rPr>
          <w:rFonts w:ascii="Arial" w:eastAsia="Times New Roman" w:hAnsi="Arial" w:cs="Arial"/>
          <w:color w:val="000000"/>
          <w:lang w:eastAsia="ru-RU"/>
        </w:rPr>
        <w:t xml:space="preserve"> на военные сборы, выполнявшие интернациональный долг в Афганистане и других странах, в которых велись боевые действия;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12)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13) родители и супруги военнослужащих и государственных служащих, погибших при исполнении служебных обязанностей;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14) физические лица, осуществляющие профессиональную творческую деятельность, -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помещений, используемых для организации открытых для посещения негосударственных музеев, галерей, библиотек, - на период такого их использования;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15) физические лица 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2. 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3. При определении подлежащей уплате налогоплательщиком суммы налога налоговая льгота предоставляется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 xml:space="preserve">в отношении одного объекта налогообложения каждого вида по </w:t>
      </w:r>
      <w:r w:rsidRPr="00033ABA">
        <w:rPr>
          <w:rFonts w:ascii="Arial" w:eastAsia="Times New Roman" w:hAnsi="Arial" w:cs="Arial"/>
          <w:color w:val="000000"/>
          <w:lang w:eastAsia="ru-RU"/>
        </w:rPr>
        <w:lastRenderedPageBreak/>
        <w:t>выбору налогоплательщика вне зависимости от количества оснований для применения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налоговых льгот.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4. Налоговая льгота предоставляется в отношении следующих видов объектов налогообложения: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1) квартира или комната;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2) жилой дом;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 xml:space="preserve">3) помещение или сооружение, указанные в </w:t>
      </w:r>
      <w:hyperlink r:id="rId6" w:anchor="407114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подпункте 14 пункта 1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статьи;</w:t>
      </w:r>
      <w:proofErr w:type="gramEnd"/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 xml:space="preserve">4) хозяйственное строение или сооружение, указанные в </w:t>
      </w:r>
      <w:hyperlink r:id="rId7" w:anchor="407115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подпункте 15 пункта 1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статьи;</w:t>
      </w:r>
      <w:proofErr w:type="gramEnd"/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5) гараж или </w:t>
      </w:r>
      <w:proofErr w:type="spellStart"/>
      <w:r w:rsidRPr="00033ABA">
        <w:rPr>
          <w:rFonts w:ascii="Arial" w:eastAsia="Times New Roman" w:hAnsi="Arial" w:cs="Arial"/>
          <w:color w:val="000000"/>
          <w:lang w:eastAsia="ru-RU"/>
        </w:rPr>
        <w:t>машино</w:t>
      </w:r>
      <w:proofErr w:type="spellEnd"/>
      <w:r w:rsidRPr="00033ABA">
        <w:rPr>
          <w:rFonts w:ascii="Arial" w:eastAsia="Times New Roman" w:hAnsi="Arial" w:cs="Arial"/>
          <w:color w:val="000000"/>
          <w:lang w:eastAsia="ru-RU"/>
        </w:rPr>
        <w:t>-место.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5. Налоговая льгота не предоставляется в отношении объектов налогообложения, указанных в </w:t>
      </w:r>
      <w:hyperlink r:id="rId8" w:anchor="40622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подпункте 2 пункта 2 статьи 406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настоящего Кодекса.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6. Лицо, имеющее право на налоговую льготу, представляет заявление о предоставлении льготы и документы, подтверждающие право налогоплательщика на налоговую льготу, в налоговый орган по своему выбору.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7. Уведомление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до 1 ноября года, являющегося налоговым периодом, начиная с которого в отношении указанных объектов применяется налоговая льгота.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Налогоплательщик, представивший в налоговый орган уведомление о выбранном объекте налогообложения, не вправе после 1 ноября года, являющегося налоговым периодом, представлять уточненное уведомление с изменением объекта налогообложения, в отношении которого в указанном налоговом периоде предоставляется налоговая льгота.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При непредставлении налогоплательщиком, имеющим право на налоговую льготу,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Форма уведомления утверждается федеральным органом исполнительной власти, уполномоченным по контролю и надзору в области налогов и сборов.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b/>
          <w:color w:val="000000"/>
          <w:lang w:eastAsia="ru-RU"/>
        </w:rPr>
      </w:pPr>
      <w:r w:rsidRPr="00033ABA">
        <w:rPr>
          <w:rFonts w:ascii="Arial" w:eastAsia="Times New Roman" w:hAnsi="Arial" w:cs="Arial"/>
          <w:b/>
          <w:color w:val="000000"/>
          <w:lang w:eastAsia="ru-RU"/>
        </w:rPr>
        <w:t>Статья 408. Порядок исчисления суммы налога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1. 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особенностей, установленных настоящей статьей.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2. Сумма налога исчисляется на основании сведений, представленных в налоговые органы в соответствии со статьей 85 настоящего Кодекса.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В отношении объектов налогообложения, права на которые возникли до дня вступления в силу Федерального закона от 21 июля 1997 года N 122-ФЗ "О государственной регистрации прав на недвижимое имущество и сделок с ним", налог исчисляется на основании данных о правообладателях, которые представлены в установленном порядке в налоговые органы до 1 марта 2013 года.</w:t>
      </w:r>
      <w:proofErr w:type="gramEnd"/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3. В случае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,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если объект налогообложения находится в общей долевой собственности, налог исчисляется в соответствии с </w:t>
      </w:r>
      <w:hyperlink r:id="rId9" w:anchor="40801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пунктом 1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 с учетом положений </w:t>
      </w:r>
      <w:hyperlink r:id="rId10" w:anchor="40808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пункта 8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 для каждого из участников долевой собственности пропорционально его доле в праве собственности на такой объект налогообложения.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lastRenderedPageBreak/>
        <w:t>В случае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,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если объект налогообложения находится в общей совместной собственности, налог исчисляется в соответствии с </w:t>
      </w:r>
      <w:hyperlink r:id="rId11" w:anchor="40801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пунктом 1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 с учетом положений </w:t>
      </w:r>
      <w:hyperlink r:id="rId12" w:anchor="40808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пункта 8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 для каждого из участников совместной собственности в равных долях.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4.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коэффициента, определяемого в соответствии с </w:t>
      </w:r>
      <w:hyperlink r:id="rId13" w:anchor="40805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пунктом 5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5. В случае возникновения (прекращения)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коэффициента, определяемого как отношение числа полных месяцев, в течение которых это имущество находилось в собственности налогоплательщика, к числу календарных месяцев в налоговом периоде.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Если возникновение права собственности на имущество произошло до 15-го числа соответствующего месяца включительно или прекращение права собственности на имущество произошло после 15-го числа соответствующего месяца,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за полный месяц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принимается месяц возникновения (прекращения) указанного права.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Если возникновение права собственности на имущество произошло после 15-го числа соответствующего месяца или прекращение указанного права произошло до 15-го числа соответствующего месяца включительно, месяц возникновения (прекращения) указанного права не учитывается при определении коэффициента, указанного в настоящем пункте.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6. В случае возникновения (прекращения) у налогоплательщика в течение налогового периода права на налоговую льготу исчисление суммы налога производится с учетом коэффициента, определяемого как отношение числа полных месяцев, в течение которых отсутствует налоговая льгота, к числу календарных месяцев в налоговом периоде. При этом месяц возникновения права на налоговую льготу, а также месяц прекращения указанного права принимается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за полный месяц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>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В случае обращения с заявлением о предоставлении льготы по уплате налога перерасчет суммы налогов производится не более чем за три налоговых периода, предшествующих календарному году обращения, но не ранее даты возникновения у налогоплательщика права на налоговую льготу.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7. В отношении имущества, перешедшего по наследству физическому лицу, налог исчисляется со дня открытия наследства.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8. Сумма налога за первые четыре налоговых периода с начала применения порядка определения налоговой базы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исходя из кадастровой стоимости объекта налогообложения исчисляется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с учетом положений </w:t>
      </w:r>
      <w:hyperlink r:id="rId14" w:anchor="40809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пункта 9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 по следующей формуле: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Н = (HI - Н2) х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 xml:space="preserve"> К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+ Н2,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где Н - сумма налога, подлежащая уплате. В случае прекращения у налогоплательщика в течение налогового периода права собственности на указанный объект налогообложения, возникновения (прекращения) права на налоговую льготу, изменения доли в праве общей собственности на объект налогообложения исчисление суммы налога (Н) производится с учетом положений </w:t>
      </w:r>
      <w:hyperlink r:id="rId15" w:anchor="40804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пунктов 4 - 6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H1 - сумма налога, исчисленная в порядке, предусмотренном </w:t>
      </w:r>
      <w:hyperlink r:id="rId16" w:anchor="40801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пунктом 1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статьи, исходя из налоговой базы, определенной в соответствии со </w:t>
      </w:r>
      <w:hyperlink r:id="rId17" w:anchor="403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статьей 403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настоящего Кодекса, без учета положений </w:t>
      </w:r>
      <w:hyperlink r:id="rId18" w:anchor="40804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пунктов 4 - 6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Н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2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- сумма налога, исчисленная исходя из соответствующей инвентаризационной стоимости объекта налогообложения (без учета положений </w:t>
      </w:r>
      <w:hyperlink r:id="rId19" w:anchor="40804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пунктов 4 - 6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статьи) за последний налоговый период определения налоговой базы в соответствии со </w:t>
      </w:r>
      <w:hyperlink r:id="rId20" w:anchor="404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статьей 404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настоящего Кодекса, либо сумма налога на имущество физических лиц, исчисленная за 2014 год в соответствии с Законом Российской Федерации от 9 декабря 1991 года N 2003-I "О налогах на имущество физических лиц" и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приходящаяся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на указанный объект налогообложения, в случае </w:t>
      </w:r>
      <w:r w:rsidRPr="00033ABA">
        <w:rPr>
          <w:rFonts w:ascii="Arial" w:eastAsia="Times New Roman" w:hAnsi="Arial" w:cs="Arial"/>
          <w:color w:val="000000"/>
          <w:lang w:eastAsia="ru-RU"/>
        </w:rPr>
        <w:lastRenderedPageBreak/>
        <w:t xml:space="preserve">применения порядка исчисления налога в соответствии со </w:t>
      </w:r>
      <w:hyperlink r:id="rId21" w:anchor="403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статьей 403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настоящего Кодекса начиная с 1 января 2015 года;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К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- коэффициент, равный: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0,2 - применительно к первому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r:id="rId22" w:anchor="403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статьей 403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настоящего Кодекса;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0,4 - применительно ко второму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r:id="rId23" w:anchor="403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статьей 403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настоящего Кодекса;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0,6 - применительно к третьему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r:id="rId24" w:anchor="403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статьей 403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настоящего Кодекса;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0,8 - применительно к четвертому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r:id="rId25" w:anchor="403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статьей 403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настоящего Кодекса.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Начиная с пятого налогового периода,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r:id="rId26" w:anchor="403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статьей 403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настоящего Кодекса, исчисление суммы налога производится в соответствии с настоящей статьей без учета положений настоящего пункта.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9. В случае, если исчисленное в соответствии с </w:t>
      </w:r>
      <w:hyperlink r:id="rId27" w:anchor="40808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пунктом 8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настоящей статьи в отношении объекта налогообложения значение суммы налога Н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2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превышает соответствующее значение суммы налога H1, сумма налога, подлежащая уплате налогоплательщиком, исчисляется без учета положений пункта 8 настоящей статьи.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b/>
          <w:color w:val="000000"/>
          <w:lang w:eastAsia="ru-RU"/>
        </w:rPr>
      </w:pPr>
      <w:r w:rsidRPr="00033ABA">
        <w:rPr>
          <w:rFonts w:ascii="Arial" w:eastAsia="Times New Roman" w:hAnsi="Arial" w:cs="Arial"/>
          <w:b/>
          <w:color w:val="000000"/>
          <w:lang w:eastAsia="ru-RU"/>
        </w:rPr>
        <w:t>Статья 409. Порядок и сроки уплаты налога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1. Налог подлежит уплате налогоплательщиками в срок не позднее 1 октября года, следующего за истекшим налоговым периодом.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4. Налогоплательщик уплачивает налог не более чем за три налоговых периода, предшествующих календарному году направления налогового уведомления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.".</w:t>
      </w:r>
      <w:proofErr w:type="gramEnd"/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Статья 3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1.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>Права и обязанности участников отношений, регулируемых законодательством Российской Федерации о налогах и сборах, возникшие в отношении налоговых периодов по налогу на имущество физических лиц, истекших до 1 января 2015 года, осуществляются в порядке, установленном Налоговым кодексом Российской Федерации, с учетом положений Закона Российской Федерации от 9 декабря 1991 года N 2003-I "О налогах на имущество физических лиц", действующего до дня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вступления в силу настоящего Федерального закона.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2.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 xml:space="preserve">В случае утверждения субъектом Российской Федерации в установленном порядке результатов определения кадастровой стоимости объектов недвижимого имущества законодательный (представительный) орган государственной власти субъекта Российской Федерации (за исключением городов федерального значения Москвы, Санкт-Петербурга и Севастополя) вправе установить в срок до 20 ноября 2014 года единую дату начала </w:t>
      </w:r>
      <w:r w:rsidRPr="00033ABA">
        <w:rPr>
          <w:rFonts w:ascii="Arial" w:eastAsia="Times New Roman" w:hAnsi="Arial" w:cs="Arial"/>
          <w:color w:val="000000"/>
          <w:lang w:eastAsia="ru-RU"/>
        </w:rPr>
        <w:lastRenderedPageBreak/>
        <w:t>применения на территории этого субъекта Российской Федерации порядка определения налоговой базы по налогу на имущество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физических лиц исходя из кадастровой стоимости объектов налогообложения с 1 января 2015 года.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3. Нормативные правовые акты представительных органов муниципальных образований (законы городов федерального значения Москвы, Санкт-Петербурга и Севастополя) о введении на территориях соответствующих муниципальных образований (городов федерального значения Москвы, Санкт-Петербурга и Севастополя) с 1 января 2015 года налога на имущество физических лиц должны быть опубликованы не позднее 1 декабря 2014 года.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4. </w:t>
      </w:r>
      <w:proofErr w:type="gramStart"/>
      <w:r w:rsidRPr="00033ABA">
        <w:rPr>
          <w:rFonts w:ascii="Arial" w:eastAsia="Times New Roman" w:hAnsi="Arial" w:cs="Arial"/>
          <w:color w:val="000000"/>
          <w:lang w:eastAsia="ru-RU"/>
        </w:rPr>
        <w:t xml:space="preserve">Лицо, указанное в </w:t>
      </w:r>
      <w:hyperlink r:id="rId28" w:anchor="40706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пункте 6 статьи 407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Налогового кодекса Российской Федерации (в редакции настоящего Федерального закона), которому по состоянию на 31 декабря 2014 года была предоставлена налоговая льгота в соответствии с Законом Российской Федерации от 9 декабря 1991 года N 2003-I "О налогах на имущество физических лиц", вправе не представлять в налоговый орган повторно заявление и документы, предусмотренные пунктом 6</w:t>
      </w:r>
      <w:proofErr w:type="gramEnd"/>
      <w:r w:rsidRPr="00033ABA">
        <w:rPr>
          <w:rFonts w:ascii="Arial" w:eastAsia="Times New Roman" w:hAnsi="Arial" w:cs="Arial"/>
          <w:color w:val="000000"/>
          <w:lang w:eastAsia="ru-RU"/>
        </w:rPr>
        <w:t xml:space="preserve"> статьи 407 Налогового кодекса Российской Федерации (в редакции настоящего Федерального закона).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Статья 5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1. Настоящий Федеральный закон вступает в силу с 1 января 2015 года,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налогу, за исключением положений, для которых настоящей статьей установлен иной срок вступления их в силу.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 xml:space="preserve">2. </w:t>
      </w:r>
      <w:hyperlink r:id="rId29" w:anchor="11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Пункт 1 статьи 1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, </w:t>
      </w:r>
      <w:hyperlink r:id="rId30" w:anchor="32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части 2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и </w:t>
      </w:r>
      <w:hyperlink r:id="rId31" w:anchor="33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3 статьи 3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и </w:t>
      </w:r>
      <w:hyperlink r:id="rId32" w:anchor="42" w:history="1">
        <w:r w:rsidRPr="00033ABA">
          <w:rPr>
            <w:rFonts w:ascii="Arial" w:eastAsia="Times New Roman" w:hAnsi="Arial" w:cs="Arial"/>
            <w:color w:val="2060A4"/>
            <w:bdr w:val="none" w:sz="0" w:space="0" w:color="auto" w:frame="1"/>
            <w:lang w:eastAsia="ru-RU"/>
          </w:rPr>
          <w:t>часть 2 статьи 4</w:t>
        </w:r>
      </w:hyperlink>
      <w:r w:rsidRPr="00033ABA">
        <w:rPr>
          <w:rFonts w:ascii="Arial" w:eastAsia="Times New Roman" w:hAnsi="Arial" w:cs="Arial"/>
          <w:color w:val="000000"/>
          <w:lang w:eastAsia="ru-RU"/>
        </w:rPr>
        <w:t xml:space="preserve"> настоящего Федерального закона вступают в силу со дня официального опубликования настоящего Федерального закона.</w:t>
      </w:r>
    </w:p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3. Начиная с 1 января 2020 года определение налоговой базы по налогу на имущество физических лиц исходя из инвентаризационной стоимости объектов налогообложения не производится.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6"/>
        <w:gridCol w:w="3596"/>
      </w:tblGrid>
      <w:tr w:rsidR="00734341" w:rsidRPr="00033ABA" w:rsidTr="00734341">
        <w:tc>
          <w:tcPr>
            <w:tcW w:w="2500" w:type="pct"/>
            <w:hideMark/>
          </w:tcPr>
          <w:p w:rsidR="00734341" w:rsidRPr="00033ABA" w:rsidRDefault="00734341" w:rsidP="0073434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33ABA">
              <w:rPr>
                <w:rFonts w:ascii="Arial" w:eastAsia="Times New Roman" w:hAnsi="Arial" w:cs="Arial"/>
                <w:color w:val="333333"/>
                <w:lang w:eastAsia="ru-RU"/>
              </w:rPr>
              <w:t xml:space="preserve">Президент Российской Федерации </w:t>
            </w:r>
          </w:p>
        </w:tc>
        <w:tc>
          <w:tcPr>
            <w:tcW w:w="2500" w:type="pct"/>
            <w:hideMark/>
          </w:tcPr>
          <w:p w:rsidR="00734341" w:rsidRPr="00033ABA" w:rsidRDefault="00734341" w:rsidP="0073434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33ABA">
              <w:rPr>
                <w:rFonts w:ascii="Arial" w:eastAsia="Times New Roman" w:hAnsi="Arial" w:cs="Arial"/>
                <w:color w:val="333333"/>
                <w:lang w:eastAsia="ru-RU"/>
              </w:rPr>
              <w:t xml:space="preserve">В. Путин </w:t>
            </w:r>
          </w:p>
        </w:tc>
      </w:tr>
    </w:tbl>
    <w:p w:rsidR="00734341" w:rsidRPr="00033ABA" w:rsidRDefault="00734341" w:rsidP="00734341">
      <w:pPr>
        <w:shd w:val="clear" w:color="auto" w:fill="FFFFFF"/>
        <w:spacing w:after="255" w:line="255" w:lineRule="atLeast"/>
        <w:rPr>
          <w:rFonts w:ascii="Arial" w:eastAsia="Times New Roman" w:hAnsi="Arial" w:cs="Arial"/>
          <w:color w:val="000000"/>
          <w:lang w:eastAsia="ru-RU"/>
        </w:rPr>
      </w:pPr>
      <w:r w:rsidRPr="00033ABA">
        <w:rPr>
          <w:rFonts w:ascii="Arial" w:eastAsia="Times New Roman" w:hAnsi="Arial" w:cs="Arial"/>
          <w:color w:val="000000"/>
          <w:lang w:eastAsia="ru-RU"/>
        </w:rPr>
        <w:t>Москва, Кремль</w:t>
      </w:r>
      <w:r w:rsidRPr="00033ABA">
        <w:rPr>
          <w:rFonts w:ascii="Arial" w:eastAsia="Times New Roman" w:hAnsi="Arial" w:cs="Arial"/>
          <w:color w:val="000000"/>
          <w:lang w:eastAsia="ru-RU"/>
        </w:rPr>
        <w:br/>
        <w:t>4 октября 2014 года</w:t>
      </w:r>
      <w:r w:rsidRPr="00033ABA">
        <w:rPr>
          <w:rFonts w:ascii="Arial" w:eastAsia="Times New Roman" w:hAnsi="Arial" w:cs="Arial"/>
          <w:color w:val="000000"/>
          <w:lang w:eastAsia="ru-RU"/>
        </w:rPr>
        <w:br/>
        <w:t>N 284-ФЗ</w:t>
      </w:r>
    </w:p>
    <w:sectPr w:rsidR="00734341" w:rsidRPr="00033ABA" w:rsidSect="00033ABA">
      <w:pgSz w:w="11906" w:h="16838"/>
      <w:pgMar w:top="624" w:right="624" w:bottom="62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154"/>
    <w:rsid w:val="00033ABA"/>
    <w:rsid w:val="00145154"/>
    <w:rsid w:val="004F03EB"/>
    <w:rsid w:val="00734341"/>
    <w:rsid w:val="00891C42"/>
    <w:rsid w:val="0092796C"/>
    <w:rsid w:val="00EB474C"/>
    <w:rsid w:val="00F7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4341"/>
    <w:pPr>
      <w:spacing w:after="255" w:line="300" w:lineRule="atLeast"/>
      <w:outlineLvl w:val="1"/>
    </w:pPr>
    <w:rPr>
      <w:rFonts w:ascii="Times New Roman" w:eastAsia="Times New Roman" w:hAnsi="Times New Roman" w:cs="Times New Roman"/>
      <w:b/>
      <w:bCs/>
      <w:color w:val="4D4D4D"/>
      <w:sz w:val="27"/>
      <w:szCs w:val="27"/>
      <w:lang w:eastAsia="ru-RU"/>
    </w:rPr>
  </w:style>
  <w:style w:type="paragraph" w:styleId="3">
    <w:name w:val="heading 3"/>
    <w:basedOn w:val="a"/>
    <w:link w:val="30"/>
    <w:uiPriority w:val="9"/>
    <w:qFormat/>
    <w:rsid w:val="00734341"/>
    <w:pPr>
      <w:spacing w:after="255" w:line="270" w:lineRule="atLeast"/>
      <w:outlineLvl w:val="2"/>
    </w:pPr>
    <w:rPr>
      <w:rFonts w:ascii="Times New Roman" w:eastAsia="Times New Roman" w:hAnsi="Times New Roman" w:cs="Times New Roman"/>
      <w:b/>
      <w:bCs/>
      <w:color w:val="333333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4341"/>
    <w:rPr>
      <w:rFonts w:ascii="Times New Roman" w:eastAsia="Times New Roman" w:hAnsi="Times New Roman" w:cs="Times New Roman"/>
      <w:b/>
      <w:bCs/>
      <w:color w:val="4D4D4D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4341"/>
    <w:rPr>
      <w:rFonts w:ascii="Times New Roman" w:eastAsia="Times New Roman" w:hAnsi="Times New Roman" w:cs="Times New Roman"/>
      <w:b/>
      <w:bCs/>
      <w:color w:val="333333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734341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styleId="a4">
    <w:name w:val="Normal (Web)"/>
    <w:basedOn w:val="a"/>
    <w:uiPriority w:val="99"/>
    <w:semiHidden/>
    <w:unhideWhenUsed/>
    <w:rsid w:val="00734341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left">
    <w:name w:val="toleft"/>
    <w:basedOn w:val="a"/>
    <w:rsid w:val="00734341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4341"/>
    <w:pPr>
      <w:spacing w:after="255" w:line="300" w:lineRule="atLeast"/>
      <w:outlineLvl w:val="1"/>
    </w:pPr>
    <w:rPr>
      <w:rFonts w:ascii="Times New Roman" w:eastAsia="Times New Roman" w:hAnsi="Times New Roman" w:cs="Times New Roman"/>
      <w:b/>
      <w:bCs/>
      <w:color w:val="4D4D4D"/>
      <w:sz w:val="27"/>
      <w:szCs w:val="27"/>
      <w:lang w:eastAsia="ru-RU"/>
    </w:rPr>
  </w:style>
  <w:style w:type="paragraph" w:styleId="3">
    <w:name w:val="heading 3"/>
    <w:basedOn w:val="a"/>
    <w:link w:val="30"/>
    <w:uiPriority w:val="9"/>
    <w:qFormat/>
    <w:rsid w:val="00734341"/>
    <w:pPr>
      <w:spacing w:after="255" w:line="270" w:lineRule="atLeast"/>
      <w:outlineLvl w:val="2"/>
    </w:pPr>
    <w:rPr>
      <w:rFonts w:ascii="Times New Roman" w:eastAsia="Times New Roman" w:hAnsi="Times New Roman" w:cs="Times New Roman"/>
      <w:b/>
      <w:bCs/>
      <w:color w:val="333333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4341"/>
    <w:rPr>
      <w:rFonts w:ascii="Times New Roman" w:eastAsia="Times New Roman" w:hAnsi="Times New Roman" w:cs="Times New Roman"/>
      <w:b/>
      <w:bCs/>
      <w:color w:val="4D4D4D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4341"/>
    <w:rPr>
      <w:rFonts w:ascii="Times New Roman" w:eastAsia="Times New Roman" w:hAnsi="Times New Roman" w:cs="Times New Roman"/>
      <w:b/>
      <w:bCs/>
      <w:color w:val="333333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734341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styleId="a4">
    <w:name w:val="Normal (Web)"/>
    <w:basedOn w:val="a"/>
    <w:uiPriority w:val="99"/>
    <w:semiHidden/>
    <w:unhideWhenUsed/>
    <w:rsid w:val="00734341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left">
    <w:name w:val="toleft"/>
    <w:basedOn w:val="a"/>
    <w:rsid w:val="00734341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5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430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/products/ipo/prime/doc/70654268/" TargetMode="External"/><Relationship Id="rId13" Type="http://schemas.openxmlformats.org/officeDocument/2006/relationships/hyperlink" Target="http://www.garant.ru/products/ipo/prime/doc/70654268/" TargetMode="External"/><Relationship Id="rId18" Type="http://schemas.openxmlformats.org/officeDocument/2006/relationships/hyperlink" Target="http://www.garant.ru/products/ipo/prime/doc/70654268/" TargetMode="External"/><Relationship Id="rId26" Type="http://schemas.openxmlformats.org/officeDocument/2006/relationships/hyperlink" Target="http://www.garant.ru/products/ipo/prime/doc/70654268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arant.ru/products/ipo/prime/doc/70654268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garant.ru/products/ipo/prime/doc/70654268/" TargetMode="External"/><Relationship Id="rId12" Type="http://schemas.openxmlformats.org/officeDocument/2006/relationships/hyperlink" Target="http://www.garant.ru/products/ipo/prime/doc/70654268/" TargetMode="External"/><Relationship Id="rId17" Type="http://schemas.openxmlformats.org/officeDocument/2006/relationships/hyperlink" Target="http://www.garant.ru/products/ipo/prime/doc/70654268/" TargetMode="External"/><Relationship Id="rId25" Type="http://schemas.openxmlformats.org/officeDocument/2006/relationships/hyperlink" Target="http://www.garant.ru/products/ipo/prime/doc/70654268/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garant.ru/products/ipo/prime/doc/70654268/" TargetMode="External"/><Relationship Id="rId20" Type="http://schemas.openxmlformats.org/officeDocument/2006/relationships/hyperlink" Target="http://www.garant.ru/products/ipo/prime/doc/70654268/" TargetMode="External"/><Relationship Id="rId29" Type="http://schemas.openxmlformats.org/officeDocument/2006/relationships/hyperlink" Target="http://www.garant.ru/products/ipo/prime/doc/70654268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70654268/" TargetMode="External"/><Relationship Id="rId11" Type="http://schemas.openxmlformats.org/officeDocument/2006/relationships/hyperlink" Target="http://www.garant.ru/products/ipo/prime/doc/70654268/" TargetMode="External"/><Relationship Id="rId24" Type="http://schemas.openxmlformats.org/officeDocument/2006/relationships/hyperlink" Target="http://www.garant.ru/products/ipo/prime/doc/70654268/" TargetMode="External"/><Relationship Id="rId32" Type="http://schemas.openxmlformats.org/officeDocument/2006/relationships/hyperlink" Target="http://www.garant.ru/products/ipo/prime/doc/70654268/" TargetMode="External"/><Relationship Id="rId5" Type="http://schemas.openxmlformats.org/officeDocument/2006/relationships/hyperlink" Target="http://www.garant.ru/products/ipo/prime/doc/70654268/" TargetMode="External"/><Relationship Id="rId15" Type="http://schemas.openxmlformats.org/officeDocument/2006/relationships/hyperlink" Target="http://www.garant.ru/products/ipo/prime/doc/70654268/" TargetMode="External"/><Relationship Id="rId23" Type="http://schemas.openxmlformats.org/officeDocument/2006/relationships/hyperlink" Target="http://www.garant.ru/products/ipo/prime/doc/70654268/" TargetMode="External"/><Relationship Id="rId28" Type="http://schemas.openxmlformats.org/officeDocument/2006/relationships/hyperlink" Target="http://www.garant.ru/products/ipo/prime/doc/70654268/" TargetMode="External"/><Relationship Id="rId10" Type="http://schemas.openxmlformats.org/officeDocument/2006/relationships/hyperlink" Target="http://www.garant.ru/products/ipo/prime/doc/70654268/" TargetMode="External"/><Relationship Id="rId19" Type="http://schemas.openxmlformats.org/officeDocument/2006/relationships/hyperlink" Target="http://www.garant.ru/products/ipo/prime/doc/70654268/" TargetMode="External"/><Relationship Id="rId31" Type="http://schemas.openxmlformats.org/officeDocument/2006/relationships/hyperlink" Target="http://www.garant.ru/products/ipo/prime/doc/7065426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.ru/products/ipo/prime/doc/70654268/" TargetMode="External"/><Relationship Id="rId14" Type="http://schemas.openxmlformats.org/officeDocument/2006/relationships/hyperlink" Target="http://www.garant.ru/products/ipo/prime/doc/70654268/" TargetMode="External"/><Relationship Id="rId22" Type="http://schemas.openxmlformats.org/officeDocument/2006/relationships/hyperlink" Target="http://www.garant.ru/products/ipo/prime/doc/70654268/" TargetMode="External"/><Relationship Id="rId27" Type="http://schemas.openxmlformats.org/officeDocument/2006/relationships/hyperlink" Target="http://www.garant.ru/products/ipo/prime/doc/70654268/" TargetMode="External"/><Relationship Id="rId30" Type="http://schemas.openxmlformats.org/officeDocument/2006/relationships/hyperlink" Target="http://www.garant.ru/products/ipo/prime/doc/7065426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3437</Words>
  <Characters>19593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6</cp:revision>
  <dcterms:created xsi:type="dcterms:W3CDTF">2014-10-28T12:56:00Z</dcterms:created>
  <dcterms:modified xsi:type="dcterms:W3CDTF">2014-11-06T06:43:00Z</dcterms:modified>
</cp:coreProperties>
</file>